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0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3200"/>
        <w:gridCol w:w="6800"/>
      </w:tblGrid>
      <w:tr w:rsidR="00B93159" w:rsidRPr="00B93159" w:rsidTr="00B93159">
        <w:tblPrEx>
          <w:tblCellMar>
            <w:top w:w="0" w:type="dxa"/>
            <w:bottom w:w="0" w:type="dxa"/>
          </w:tblCellMar>
        </w:tblPrEx>
        <w:trPr>
          <w:tblHeader/>
        </w:trPr>
        <w:tc>
          <w:tcPr>
            <w:tcW w:w="3200" w:type="dxa"/>
            <w:tcBorders>
              <w:top w:val="single" w:sz="4" w:space="0" w:color="auto"/>
              <w:bottom w:val="dotted" w:sz="4" w:space="0" w:color="auto"/>
            </w:tcBorders>
            <w:shd w:val="clear" w:color="auto" w:fill="E6E6E6"/>
          </w:tcPr>
          <w:p w:rsidR="00B93159" w:rsidRPr="00B93159" w:rsidRDefault="00B93159">
            <w:pPr>
              <w:rPr>
                <w:rFonts w:ascii="ＭＳ ゴシック" w:eastAsia="ＭＳ ゴシック" w:hAnsi="ＭＳ ゴシック"/>
                <w:sz w:val="20"/>
                <w:shd w:val="clear" w:color="auto" w:fill="E6E6E6"/>
              </w:rPr>
            </w:pPr>
            <w:bookmarkStart w:id="0" w:name="_GoBack"/>
            <w:r w:rsidRPr="00B93159">
              <w:rPr>
                <w:rFonts w:ascii="ＭＳ ゴシック" w:eastAsia="ＭＳ ゴシック" w:hAnsi="ＭＳ ゴシック" w:hint="eastAsia"/>
                <w:sz w:val="20"/>
                <w:shd w:val="clear" w:color="auto" w:fill="E6E6E6"/>
              </w:rPr>
              <w:t>商品名</w:t>
            </w:r>
            <w:bookmarkEnd w:id="0"/>
            <w:r w:rsidRPr="00B93159">
              <w:rPr>
                <w:rFonts w:ascii="ＭＳ ゴシック" w:eastAsia="ＭＳ ゴシック" w:hAnsi="ＭＳ ゴシック" w:hint="eastAsia"/>
                <w:sz w:val="20"/>
                <w:shd w:val="clear" w:color="auto" w:fill="E6E6E6"/>
              </w:rPr>
              <w:t xml:space="preserve">　規格単位</w:t>
            </w:r>
          </w:p>
        </w:tc>
        <w:tc>
          <w:tcPr>
            <w:tcW w:w="6800" w:type="dxa"/>
            <w:tcBorders>
              <w:top w:val="single" w:sz="4" w:space="0" w:color="auto"/>
              <w:bottom w:val="dotted" w:sz="4" w:space="0" w:color="auto"/>
            </w:tcBorders>
            <w:shd w:val="clear" w:color="auto" w:fill="E6E6E6"/>
          </w:tcPr>
          <w:p w:rsidR="00B93159" w:rsidRPr="00B93159" w:rsidRDefault="00B93159">
            <w:pPr>
              <w:rPr>
                <w:rFonts w:ascii="ＭＳ ゴシック" w:eastAsia="ＭＳ ゴシック" w:hAnsi="ＭＳ ゴシック"/>
                <w:sz w:val="20"/>
                <w:shd w:val="clear" w:color="auto" w:fill="E6E6E6"/>
              </w:rPr>
            </w:pPr>
            <w:r w:rsidRPr="00B93159">
              <w:rPr>
                <w:rFonts w:ascii="ＭＳ ゴシック" w:eastAsia="ＭＳ ゴシック" w:hAnsi="ＭＳ ゴシック" w:hint="eastAsia"/>
                <w:sz w:val="20"/>
                <w:shd w:val="clear" w:color="auto" w:fill="E6E6E6"/>
              </w:rPr>
              <w:t>高齢者投与に関する記載</w:t>
            </w:r>
          </w:p>
        </w:tc>
      </w:tr>
      <w:tr w:rsidR="00B93159" w:rsidRPr="00B93159" w:rsidTr="00B93159">
        <w:tblPrEx>
          <w:tblCellMar>
            <w:top w:w="0" w:type="dxa"/>
            <w:bottom w:w="0" w:type="dxa"/>
          </w:tblCellMar>
        </w:tblPrEx>
        <w:tc>
          <w:tcPr>
            <w:tcW w:w="3200" w:type="dxa"/>
            <w:tcBorders>
              <w:top w:val="dotted" w:sz="4" w:space="0" w:color="auto"/>
            </w:tcBorders>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アーチスト錠１０ｍｇ</w:t>
            </w:r>
            <w:r>
              <w:rPr>
                <w:rFonts w:ascii="ＭＳ ゴシック" w:eastAsia="ＭＳ ゴシック" w:hAnsi="ＭＳ ゴシック"/>
                <w:sz w:val="20"/>
              </w:rPr>
              <w:t xml:space="preserve"> １０ｍｇ１錠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(般)カルベジロール錠</w:t>
            </w:r>
          </w:p>
        </w:tc>
        <w:tc>
          <w:tcPr>
            <w:tcW w:w="6800" w:type="dxa"/>
            <w:tcBorders>
              <w:top w:val="dotted" w:sz="4" w:space="0" w:color="auto"/>
            </w:tcBorders>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本剤は主として肝臓で代謝される薬剤であり、重篤な肝機能障害患者で血中濃度の上昇が認められている。高齢者では肝機能が低下していることが多いため血中濃度が上昇するおそれがあり、また過度な降圧は好ましくないとされている（脳梗塞等が起こるおそれがある）ことから、高齢者に使用する場合は低用量から投与を開始するなど、患者の状態を十分観察しながら慎重に投与することが望ましい。</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特に高齢の重症慢性心不全患者では、本剤の副作用が生じやすいので注意すること。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アーテン散１％</w:t>
            </w:r>
            <w:r>
              <w:rPr>
                <w:rFonts w:ascii="ＭＳ ゴシック" w:eastAsia="ＭＳ ゴシック" w:hAnsi="ＭＳ ゴシック"/>
                <w:sz w:val="20"/>
              </w:rPr>
              <w:t xml:space="preserve"> １％１ｇ</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(般)トリヘキシフェニジル塩酸塩散</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高齢者には慎重に投与すること。［せん妄、不安等の精神症状及び抗コリン作用による口渇、排尿困難、便秘等があらわれやすい。］</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後アイデイト錠１００ｍｇ</w:t>
            </w:r>
            <w:r>
              <w:rPr>
                <w:rFonts w:ascii="ＭＳ ゴシック" w:eastAsia="ＭＳ ゴシック" w:hAnsi="ＭＳ ゴシック"/>
                <w:sz w:val="20"/>
              </w:rPr>
              <w:t xml:space="preserve"> １００ｍｇ１錠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(般)アロプリノール錠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(先)ザイロリック錠１００</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本剤の主代謝物は主として腎から排泄されるが、高齢者では腎機能が低下していることが多いため、高い血中濃度が持続するおそれがあるので、用量に留意して慎重に投与すること。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後アイラックス錠２００ｍｇ</w:t>
            </w:r>
            <w:r>
              <w:rPr>
                <w:rFonts w:ascii="ＭＳ ゴシック" w:eastAsia="ＭＳ ゴシック" w:hAnsi="ＭＳ ゴシック"/>
                <w:sz w:val="20"/>
              </w:rPr>
              <w:t xml:space="preserve"> ２００ｍｇ１錠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(般)アシクロビル錠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(先)ゾビラックス錠２００</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本剤は、主として腎臓から排泄されるが、高齢者では腎機能が低下していることが多いため高い血中濃度が持続するおそれがあるので、投与間隔を調節し、患者の状態を観察しながら、慎重に投与すること（［用法及び用量に関連する使用上の注意］及び「重要な基本的注意」の項参照）。また、本剤の投与中は適切な水分補給を行う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後アイラックス錠４００ｍｇ</w:t>
            </w:r>
            <w:r>
              <w:rPr>
                <w:rFonts w:ascii="ＭＳ ゴシック" w:eastAsia="ＭＳ ゴシック" w:hAnsi="ＭＳ ゴシック"/>
                <w:sz w:val="20"/>
              </w:rPr>
              <w:t xml:space="preserve"> ４００ｍｇ１錠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(般)アシクロビル錠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(先)ゾビラックス錠４００</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本剤は、主として腎臓から排泄されるが、高齢者では腎機能が低下していることが多いため高い血中濃度が持続するおそれがあるので、投与間隔を調節し、患者の状態を観察しながら、慎重に投与すること（［用法及び用量に関連する使用上の注意］及び「重要な基本的注意」の項参照）。また、本剤の投与中は適切な水分補給を行う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アキネトン細粒１％</w:t>
            </w:r>
            <w:r>
              <w:rPr>
                <w:rFonts w:ascii="ＭＳ ゴシック" w:eastAsia="ＭＳ ゴシック" w:hAnsi="ＭＳ ゴシック"/>
                <w:sz w:val="20"/>
              </w:rPr>
              <w:t xml:space="preserve"> １％１ｇ</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(般)ビペリデン塩酸塩細粒</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高齢者では，慎重に投与すること．〔せん妄，不安等の精神症状および抗コリン作用による口渇，排尿困難，便秘等があらわれやすい．〕</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アクセノン末</w:t>
            </w:r>
            <w:r>
              <w:rPr>
                <w:rFonts w:ascii="ＭＳ ゴシック" w:eastAsia="ＭＳ ゴシック" w:hAnsi="ＭＳ ゴシック"/>
                <w:sz w:val="20"/>
              </w:rPr>
              <w:t xml:space="preserve"> １ｇ</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(般)エトトイン末</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少量から投与を開始するなど慎重に投与すること．なお，投与を中止する場合には，徐々に減量するなど慎重に行うこと．〔高齢者では，生理機能（肝機能，腎機能）が低下していることが多い．「重要な基本的注意」（</w:t>
            </w:r>
            <w:r>
              <w:rPr>
                <w:rFonts w:ascii="ＭＳ ゴシック" w:eastAsia="ＭＳ ゴシック" w:hAnsi="ＭＳ ゴシック"/>
                <w:sz w:val="20"/>
              </w:rPr>
              <w:t>2）の項参照〕</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アクトス錠１５</w:t>
            </w:r>
            <w:r>
              <w:rPr>
                <w:rFonts w:ascii="ＭＳ ゴシック" w:eastAsia="ＭＳ ゴシック" w:hAnsi="ＭＳ ゴシック"/>
                <w:sz w:val="20"/>
              </w:rPr>
              <w:t xml:space="preserve"> １５ｍｇ１錠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(般)ピオグリタゾン塩酸塩錠</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w:t>
            </w:r>
            <w:r>
              <w:rPr>
                <w:rFonts w:ascii="ＭＳ ゴシック" w:eastAsia="ＭＳ ゴシック" w:hAnsi="ＭＳ ゴシック"/>
                <w:sz w:val="20"/>
              </w:rPr>
              <w:t>1日1回15mgから投与を開始するなど、副作用発現に留意し、経過を十分に観察しながら慎重に投与すること。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アレディア点滴静注用１５ｍｇ</w:t>
            </w:r>
            <w:r>
              <w:rPr>
                <w:rFonts w:ascii="ＭＳ ゴシック" w:eastAsia="ＭＳ ゴシック" w:hAnsi="ＭＳ ゴシック"/>
                <w:sz w:val="20"/>
              </w:rPr>
              <w:t xml:space="preserve"> １５ｍｇ１瓶</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(般)注射用パミドロン酸二ナトリウム水和物</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一般に高齢者では生理機能が低下しているので、低用量を用いるなど慎重に投与すること。〔乳癌の溶骨性骨転移に対して減量して使用した場合の有効性は確立されていない。〕（「</w:t>
            </w:r>
            <w:r>
              <w:rPr>
                <w:rFonts w:ascii="ＭＳ ゴシック" w:eastAsia="ＭＳ ゴシック" w:hAnsi="ＭＳ ゴシック"/>
                <w:sz w:val="20"/>
              </w:rPr>
              <w:t>1.慎重投与」の項参照）</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アレビアチン注２５０ｍｇ</w:t>
            </w:r>
            <w:r>
              <w:rPr>
                <w:rFonts w:ascii="ＭＳ ゴシック" w:eastAsia="ＭＳ ゴシック" w:hAnsi="ＭＳ ゴシック"/>
                <w:sz w:val="20"/>
              </w:rPr>
              <w:t xml:space="preserve"> ５％５ｍＬ１管</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(般)フェニトインナトリウム注射液</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患者の状態を観察しながら慎重に投与すること．なお，投与を中止する場合には，徐々に減量するなど慎重に行うこと．〔高齢者では，心停止，呼吸停止が起こりやすい．「重要な基本的注意」の項参照〕</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後アンスルマイラン静注用０．７５ｇ</w:t>
            </w:r>
            <w:r>
              <w:rPr>
                <w:rFonts w:ascii="ＭＳ ゴシック" w:eastAsia="ＭＳ ゴシック" w:hAnsi="ＭＳ ゴシック"/>
                <w:sz w:val="20"/>
              </w:rPr>
              <w:t xml:space="preserve"> （０．７５ｇ）１瓶</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(般)静注用スルバクタムナトリウム・アンピシリンナトリウム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(先)ユナシン－Ｓ静注用０．７５ｇ</w:t>
            </w:r>
          </w:p>
        </w:tc>
        <w:tc>
          <w:tcPr>
            <w:tcW w:w="68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高齢者には、次の点に注意し、用量並びに投与間隔に留意するなど患者の状態を観察しながら慎重に投与すること。</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(1).高齢者では一般的に生理機能が低下していることが多く副作用が発現しやすい。</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(2).高齢者ではビタミンK欠乏による出血傾向があらわれることがある。</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イオパミロン注３００</w:t>
            </w:r>
            <w:r>
              <w:rPr>
                <w:rFonts w:ascii="ＭＳ ゴシック" w:eastAsia="ＭＳ ゴシック" w:hAnsi="ＭＳ ゴシック"/>
                <w:sz w:val="20"/>
              </w:rPr>
              <w:t xml:space="preserve"> ６１．２４％２０ｍＬ１瓶</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(般)イオパミドール注射液</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一般に高齢者では生理機能が低下しているので，患者の状態を十分に観察しながら慎重に投与すること．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イソゾール注射用０．５ｇ</w:t>
            </w:r>
            <w:r>
              <w:rPr>
                <w:rFonts w:ascii="ＭＳ ゴシック" w:eastAsia="ＭＳ ゴシック" w:hAnsi="ＭＳ ゴシック"/>
                <w:sz w:val="20"/>
              </w:rPr>
              <w:t xml:space="preserve"> ５００ｍｇ１瓶（溶解液付）</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(般)注射用チアミラールナトリウム</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高齢者では生理機能が低下しているので，呼吸抑制，血圧降下等が強くあらわれることがあるので，慎重に投与すること。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後イリノテカン塩酸塩点滴静注液４０ｍｇ「ＮＫ」</w:t>
            </w:r>
            <w:r>
              <w:rPr>
                <w:rFonts w:ascii="ＭＳ ゴシック" w:eastAsia="ＭＳ ゴシック" w:hAnsi="ＭＳ ゴシック"/>
                <w:sz w:val="20"/>
              </w:rPr>
              <w:t xml:space="preserve"> ４０ｍｇ２ｍＬ１瓶</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(般)イリノテカン塩酸塩水和物注射液</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(先)カンプト点滴静注４０ｍｇ</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おり、排泄が遅れることから、骨髄機能抑制、下痢等の副作用に注意し、異常が認められた場合には、回復を十分に確認してから投与を行うなど、投与間隔に留意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後インダスト点滴静注用０．２５ｇ</w:t>
            </w:r>
            <w:r>
              <w:rPr>
                <w:rFonts w:ascii="ＭＳ ゴシック" w:eastAsia="ＭＳ ゴシック" w:hAnsi="ＭＳ ゴシック"/>
                <w:sz w:val="20"/>
              </w:rPr>
              <w:t xml:space="preserve"> ２５０ｍｇ１瓶</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(般)注射用イミペネム水和物・シラスタチンナトリウム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(先)チエナム点滴静注用０．２５ｇ</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本剤は腎排泄型の薬剤である。生理機能が低下している高齢者では副作用があらわれやすいので、患者の状態を観察しながら慎重に投与し、副作用（「副作用」の項参照）があらわれた場合には投与を中止するなど適切な処置を行うこと。なお、他の抗生物質（セフェム系、アミノグリコシド系等）を投与した高齢者において、ビタミン</w:t>
            </w:r>
            <w:r>
              <w:rPr>
                <w:rFonts w:ascii="ＭＳ ゴシック" w:eastAsia="ＭＳ ゴシック" w:hAnsi="ＭＳ ゴシック"/>
                <w:sz w:val="20"/>
              </w:rPr>
              <w:t>K欠乏による出血傾向があらわれたとの報告がある。</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後エトドラク錠１００ｍｇ「タイヨー」</w:t>
            </w:r>
            <w:r>
              <w:rPr>
                <w:rFonts w:ascii="ＭＳ ゴシック" w:eastAsia="ＭＳ ゴシック" w:hAnsi="ＭＳ ゴシック"/>
                <w:sz w:val="20"/>
              </w:rPr>
              <w:t xml:space="preserve"> １００ｍｇ１錠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(般)エトドラク錠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(先)ハイペン錠１００ｍｇ</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では、一般的に腎機能の低下により高い血中濃度が持続したり、血漿アルブミンの減少により、遊離の薬物の血中濃度が高くなるおそれがある。本剤は、主として腎臓から排泄され、また、血漿アルブミンとの結合性が強い薬物であるので、少量（例えば</w:t>
            </w:r>
            <w:r>
              <w:rPr>
                <w:rFonts w:ascii="ＭＳ ゴシック" w:eastAsia="ＭＳ ゴシック" w:hAnsi="ＭＳ ゴシック"/>
                <w:sz w:val="20"/>
              </w:rPr>
              <w:t>200mg/日）から投与を開始するなど患者の状態を観察しながら慎重に投与すること。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後クライスリン錠５０</w:t>
            </w:r>
            <w:r>
              <w:rPr>
                <w:rFonts w:ascii="ＭＳ ゴシック" w:eastAsia="ＭＳ ゴシック" w:hAnsi="ＭＳ ゴシック"/>
                <w:sz w:val="20"/>
              </w:rPr>
              <w:t xml:space="preserve"> ５０単位１錠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(般)カリジノゲナーゼ錠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(先)カルナクリン錠５０</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一般に高齢者では生理機能が低下しているので減量するなど注意すること。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ザジテンカプセル１ｍｇ</w:t>
            </w:r>
            <w:r>
              <w:rPr>
                <w:rFonts w:ascii="ＭＳ ゴシック" w:eastAsia="ＭＳ ゴシック" w:hAnsi="ＭＳ ゴシック"/>
                <w:sz w:val="20"/>
              </w:rPr>
              <w:t xml:space="preserve"> １ｍｇ１カプセル</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(般)ケトチフェンフマル酸塩カプセル</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一般に高齢者では生理機能が低下しているので減量するなど注意すること。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後サタノロン錠２５ｍｇ</w:t>
            </w:r>
            <w:r>
              <w:rPr>
                <w:rFonts w:ascii="ＭＳ ゴシック" w:eastAsia="ＭＳ ゴシック" w:hAnsi="ＭＳ ゴシック"/>
                <w:sz w:val="20"/>
              </w:rPr>
              <w:t xml:space="preserve"> ２５ｍｇ１錠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(般)ジフェニドール塩酸塩錠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(先)セファドール錠２５ｍｇ</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一般に高齢者では生理機能が低下しているので減量するなど注意すること。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後ザトフェロン錠８０</w:t>
            </w:r>
            <w:r>
              <w:rPr>
                <w:rFonts w:ascii="ＭＳ ゴシック" w:eastAsia="ＭＳ ゴシック" w:hAnsi="ＭＳ ゴシック"/>
                <w:sz w:val="20"/>
              </w:rPr>
              <w:t xml:space="preserve"> ８０ｍｇ１錠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(般)ザルトプロフェン錠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(先)ソレトン錠８０</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本剤は血漿蛋白結合率が高く、また、主として腎臓から排泄されるが、高齢者では、血漿アルブミンが減少していることが多く、腎機能も低下していることがあり、高い血中濃度が持続するおそれがあるので、消化器症状等患者の状態を観察しながら、投与回数を減らす（例えば</w:t>
            </w:r>
            <w:r>
              <w:rPr>
                <w:rFonts w:ascii="ＭＳ ゴシック" w:eastAsia="ＭＳ ゴシック" w:hAnsi="ＭＳ ゴシック"/>
                <w:sz w:val="20"/>
              </w:rPr>
              <w:t>1回1錠1日2回）か又は休薬するなど慎重に投与すること。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後ザルバン注０．２ｍｇ</w:t>
            </w:r>
            <w:r>
              <w:rPr>
                <w:rFonts w:ascii="ＭＳ ゴシック" w:eastAsia="ＭＳ ゴシック" w:hAnsi="ＭＳ ゴシック"/>
                <w:sz w:val="20"/>
              </w:rPr>
              <w:t xml:space="preserve"> ０．２ｍｇ１管</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(般)ブプレノルフィン塩酸塩注射液</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(先)レペタン注０．２ｍｇ</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一般に高齢者では生理機能が低下しているので、患者の状態を観察しながら慎重に投与すること。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後ザルバン注０．３ｍｇ</w:t>
            </w:r>
            <w:r>
              <w:rPr>
                <w:rFonts w:ascii="ＭＳ ゴシック" w:eastAsia="ＭＳ ゴシック" w:hAnsi="ＭＳ ゴシック"/>
                <w:sz w:val="20"/>
              </w:rPr>
              <w:t xml:space="preserve"> ０．３ｍｇ１管</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(般)ブプレノルフィン塩酸塩注射液</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(先)レペタン注０．３ｍｇ</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一般に高齢者では生理機能が低下しているので、患者の状態を観察しながら慎重に投与すること。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ザンタック注射液５０ｍｇ</w:t>
            </w:r>
            <w:r>
              <w:rPr>
                <w:rFonts w:ascii="ＭＳ ゴシック" w:eastAsia="ＭＳ ゴシック" w:hAnsi="ＭＳ ゴシック"/>
                <w:sz w:val="20"/>
              </w:rPr>
              <w:t xml:space="preserve"> ２．５％２ｍＬ１管</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(般)ラニチジン塩酸塩注射液</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血中濃度が持続するおそれがあるので、減量するか投与間隔を延長する等慎重に投与すること［本剤は主として腎臓から排泄されるが、高齢者では腎機能が低下していることが多い］。</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トラベルミン配合錠</w:t>
            </w:r>
            <w:r>
              <w:rPr>
                <w:rFonts w:ascii="ＭＳ ゴシック" w:eastAsia="ＭＳ ゴシック" w:hAnsi="ＭＳ ゴシック"/>
                <w:sz w:val="20"/>
              </w:rPr>
              <w:t xml:space="preserve"> １錠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(般)ジフェンヒドラミンサリチル酸塩・ジプロフィリン錠</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一般に高齢者では生理機能が低下しているので減量するなど注意すること。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後ドランジン錠２ｍｇ</w:t>
            </w:r>
            <w:r>
              <w:rPr>
                <w:rFonts w:ascii="ＭＳ ゴシック" w:eastAsia="ＭＳ ゴシック" w:hAnsi="ＭＳ ゴシック"/>
                <w:sz w:val="20"/>
              </w:rPr>
              <w:t xml:space="preserve"> ２ｍｇ１錠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(般)イルソグラジンマレイン酸塩錠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(先)ガスロンＮ錠２ｍｇ</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一般に高齢者では生理機能が低下しているので、低用量（例えば</w:t>
            </w:r>
            <w:r>
              <w:rPr>
                <w:rFonts w:ascii="ＭＳ ゴシック" w:eastAsia="ＭＳ ゴシック" w:hAnsi="ＭＳ ゴシック"/>
                <w:sz w:val="20"/>
              </w:rPr>
              <w:t>2mg/日）から投与を開始するなど、患者の状態を観察しながら慎重に投与すること。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トランデート錠５０ｍｇ</w:t>
            </w:r>
            <w:r>
              <w:rPr>
                <w:rFonts w:ascii="ＭＳ ゴシック" w:eastAsia="ＭＳ ゴシック" w:hAnsi="ＭＳ ゴシック"/>
                <w:sz w:val="20"/>
              </w:rPr>
              <w:t xml:space="preserve"> ５０ｍｇ１錠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(般)ラベタロール塩酸塩錠</w:t>
            </w:r>
          </w:p>
        </w:tc>
        <w:tc>
          <w:tcPr>
            <w:tcW w:w="68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高齢者には、以下の点に注意し、少量から投与するなど患者の状態を観察しながら慎重に投与すること。</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(1).高齢者では一般に過度の降圧は好ましくないとされている（脳梗塞等が起こるおそれがある）。</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(2).休薬を要する場合は、徐々に減量する（「重要な基本的注意」の項参照）。</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後トルクシール錠５０ｍｇ</w:t>
            </w:r>
            <w:r>
              <w:rPr>
                <w:rFonts w:ascii="ＭＳ ゴシック" w:eastAsia="ＭＳ ゴシック" w:hAnsi="ＭＳ ゴシック"/>
                <w:sz w:val="20"/>
              </w:rPr>
              <w:t xml:space="preserve"> ５０ｍｇ１錠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(般)ジラゼプ塩酸塩水和物錠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(先)コメリアンコーワ錠５０</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一般に高齢者では生理機能が低下しているので減量するなど注意すること。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後トロノーム配合錠</w:t>
            </w:r>
            <w:r>
              <w:rPr>
                <w:rFonts w:ascii="ＭＳ ゴシック" w:eastAsia="ＭＳ ゴシック" w:hAnsi="ＭＳ ゴシック"/>
                <w:sz w:val="20"/>
              </w:rPr>
              <w:t xml:space="preserve"> 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(般)クエン酸カリウム・クエン酸ナトリウム水和物配合剤錠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(先)ウラリット配合錠</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高齢者では、生理機能が低下していることが多く、副作用があらわれやすいので、減量するなど注意すること。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後ドンペリドン錠５ｍｇ「ＴＹＫ」</w:t>
            </w:r>
            <w:r>
              <w:rPr>
                <w:rFonts w:ascii="ＭＳ ゴシック" w:eastAsia="ＭＳ ゴシック" w:hAnsi="ＭＳ ゴシック"/>
                <w:sz w:val="20"/>
              </w:rPr>
              <w:t xml:space="preserve"> ５ｍｇ１錠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(般)ドンペリドン錠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(先)ナウゼリン錠５</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一般的に高齢者では生理機能が低下しているので減量するなど注意すること。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ナトリックス錠２</w:t>
            </w:r>
            <w:r>
              <w:rPr>
                <w:rFonts w:ascii="ＭＳ ゴシック" w:eastAsia="ＭＳ ゴシック" w:hAnsi="ＭＳ ゴシック"/>
                <w:sz w:val="20"/>
              </w:rPr>
              <w:t xml:space="preserve"> ２ｍｇ１錠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(般)インダパミド錠</w:t>
            </w:r>
          </w:p>
        </w:tc>
        <w:tc>
          <w:tcPr>
            <w:tcW w:w="68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高齢者には、次の点に注意し、少量から投与を開始するなど患者の状態を観察しながら慎重に投与すること。</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(1).高齢者では、急激な利尿は血漿量の減少をきたし、脱水、低血圧等による立ちくらみ、めまい、失神等を起こすことがある（「重要な基本的注意」の項参照）。</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(2).高齢者では一般に過度の降圧は好ましくないとされている（脳梗塞等が起こるおそれがある）。</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(3).特に心疾患等のある高齢者では、急激な利尿があらわれた場合、急速な血漿量減少、血液濃縮をきたし、血栓塞栓症を誘発するおそれがある。</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(4).高齢者では、低</w:t>
            </w:r>
            <w:r>
              <w:rPr>
                <w:rFonts w:ascii="ＭＳ ゴシック" w:eastAsia="ＭＳ ゴシック" w:hAnsi="ＭＳ ゴシック" w:hint="eastAsia"/>
                <w:sz w:val="20"/>
              </w:rPr>
              <w:t>ナトリウム血症、低カリウム血症があらわれやすい（「重要な基本的注意」の項参照）。</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ネオメドロールＥＥ軟膏</w:t>
            </w:r>
            <w:r>
              <w:rPr>
                <w:rFonts w:ascii="ＭＳ ゴシック" w:eastAsia="ＭＳ ゴシック" w:hAnsi="ＭＳ ゴシック"/>
                <w:sz w:val="20"/>
              </w:rPr>
              <w:t xml:space="preserve"> １ｇ</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(般)フラジオマイシン硫酸塩・メチルプレドニゾロン軟膏</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一般に高齢者では生理機能が低下しているので、減量するなど注意すること。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後ネリコルト坐剤</w:t>
            </w:r>
            <w:r>
              <w:rPr>
                <w:rFonts w:ascii="ＭＳ ゴシック" w:eastAsia="ＭＳ ゴシック" w:hAnsi="ＭＳ ゴシック"/>
                <w:sz w:val="20"/>
              </w:rPr>
              <w:t xml:space="preserve"> １個</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(般)ジフルコルトロン吉草酸エステル・リドカイン坐剤</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(先)ネリプロクト坐剤</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一般に高齢者では副作用があらわれやすいので、患者の状態を十分に観察しながら使用すること。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後ネリコルト軟膏</w:t>
            </w:r>
            <w:r>
              <w:rPr>
                <w:rFonts w:ascii="ＭＳ ゴシック" w:eastAsia="ＭＳ ゴシック" w:hAnsi="ＭＳ ゴシック"/>
                <w:sz w:val="20"/>
              </w:rPr>
              <w:t xml:space="preserve"> １ｇ</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(般)ジフルコルトロン吉草酸エステル・リドカイン軟膏</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(先)ネリプロクト軟膏</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一般に高齢者では副作用があらわれやすいので、患者の状態を十分に観察しながら使用すること。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後ネリザ軟膏</w:t>
            </w:r>
            <w:r>
              <w:rPr>
                <w:rFonts w:ascii="ＭＳ ゴシック" w:eastAsia="ＭＳ ゴシック" w:hAnsi="ＭＳ ゴシック"/>
                <w:sz w:val="20"/>
              </w:rPr>
              <w:t xml:space="preserve"> １ｇ</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(般)ジフルコルトロン吉草酸エステル・リドカイン軟膏</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(先)ネリプロクト軟膏</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一般に高齢者では副作用があらわれやすいので、患者の状態を十分に観察しながら使用すること。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ネリプロクト坐剤</w:t>
            </w:r>
            <w:r>
              <w:rPr>
                <w:rFonts w:ascii="ＭＳ ゴシック" w:eastAsia="ＭＳ ゴシック" w:hAnsi="ＭＳ ゴシック"/>
                <w:sz w:val="20"/>
              </w:rPr>
              <w:t xml:space="preserve"> １個</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(般)ジフルコルトロン吉草酸エステル・リドカイン坐剤</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一般に高齢者では副作用があらわれやすいので，患者の状態を十分に観察しながら使用すること．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ユニコン錠２００</w:t>
            </w:r>
            <w:r>
              <w:rPr>
                <w:rFonts w:ascii="ＭＳ ゴシック" w:eastAsia="ＭＳ ゴシック" w:hAnsi="ＭＳ ゴシック"/>
                <w:sz w:val="20"/>
              </w:rPr>
              <w:t xml:space="preserve"> ２００ｍｇ１錠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(般)テオフィリン徐放錠</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高齢者では副作用の発現に注意し，低用量（例えば</w:t>
            </w:r>
            <w:r>
              <w:rPr>
                <w:rFonts w:ascii="ＭＳ ゴシック" w:eastAsia="ＭＳ ゴシック" w:hAnsi="ＭＳ ゴシック"/>
                <w:sz w:val="20"/>
              </w:rPr>
              <w:t>200mg/日）から投与を開始するなど，患者の状態を観察しながら慎重に投与すること。［高齢者では，非高齢者に比べ最高血中濃度の上昇及びAUCの増加が認められたとの報告がある。］</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ロキシーン錠４ｍｇ</w:t>
            </w:r>
            <w:r>
              <w:rPr>
                <w:rFonts w:ascii="ＭＳ ゴシック" w:eastAsia="ＭＳ ゴシック" w:hAnsi="ＭＳ ゴシック"/>
                <w:sz w:val="20"/>
              </w:rPr>
              <w:t xml:space="preserve"> ４ｍｇ１錠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(般)プリジノールメシル酸塩錠</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一般に高齢者では生理機能が低下しているので、減量するなど注意すること。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後ロキシスロマイシン錠１５０ｍｇ「サンド」</w:t>
            </w:r>
            <w:r>
              <w:rPr>
                <w:rFonts w:ascii="ＭＳ ゴシック" w:eastAsia="ＭＳ ゴシック" w:hAnsi="ＭＳ ゴシック"/>
                <w:sz w:val="20"/>
              </w:rPr>
              <w:t xml:space="preserve"> １５０ｍｇ１錠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(般)ロキシスロマイシン錠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(先)ルリッド錠１５０</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高齢者での薬物動態試験で、健康成人に比べ高い血中濃度が持続する傾向が認められているので、慎重に投与すること。</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後ロキソート錠６０ｍｇ</w:t>
            </w:r>
            <w:r>
              <w:rPr>
                <w:rFonts w:ascii="ＭＳ ゴシック" w:eastAsia="ＭＳ ゴシック" w:hAnsi="ＭＳ ゴシック"/>
                <w:sz w:val="20"/>
              </w:rPr>
              <w:t xml:space="preserve"> ６０ｍｇ１錠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(般)ロキソプロフェンナトリウム水和物錠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(先)ロキソニン錠６０ｍｇ</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高齢者では、副作用があらわれやすいので、少量から開始するなど患者の状態を観察しながら慎重に投与すること（「重要な基本的注意」の項参照）。</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ロキソニン細粒１０％</w:t>
            </w:r>
            <w:r>
              <w:rPr>
                <w:rFonts w:ascii="ＭＳ ゴシック" w:eastAsia="ＭＳ ゴシック" w:hAnsi="ＭＳ ゴシック"/>
                <w:sz w:val="20"/>
              </w:rPr>
              <w:t xml:space="preserve"> １０％１ｇ</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(般)ロキソプロフェンナトリウム水和物細粒</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高齢者では、副作用があらわれやすいので、少量から開始するなど患者の状態を観察しながら慎重に投与すること（「重要な基本的注意」の項参照）。</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ロキソニン錠６０ｍｇ</w:t>
            </w:r>
            <w:r>
              <w:rPr>
                <w:rFonts w:ascii="ＭＳ ゴシック" w:eastAsia="ＭＳ ゴシック" w:hAnsi="ＭＳ ゴシック"/>
                <w:sz w:val="20"/>
              </w:rPr>
              <w:t xml:space="preserve"> ６０ｍｇ１錠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(般)ロキソプロフェンナトリウム水和物錠</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高齢者では、副作用があらわれやすいので、少量から開始するなど患者の状態を観察しながら慎重に投与すること（「重要な基本的注意」の項参照）。</w:t>
            </w:r>
          </w:p>
        </w:tc>
      </w:tr>
      <w:tr w:rsidR="00B93159" w:rsidRPr="00B93159" w:rsidTr="00B93159">
        <w:tblPrEx>
          <w:tblCellMar>
            <w:top w:w="0" w:type="dxa"/>
            <w:bottom w:w="0" w:type="dxa"/>
          </w:tblCellMar>
        </w:tblPrEx>
        <w:tc>
          <w:tcPr>
            <w:tcW w:w="3200" w:type="dxa"/>
            <w:shd w:val="clear" w:color="auto" w:fill="auto"/>
          </w:tcPr>
          <w:p w:rsid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後ロキソプロフェン錠６０ｍｇ「ＥＭＥＣ」</w:t>
            </w:r>
            <w:r>
              <w:rPr>
                <w:rFonts w:ascii="ＭＳ ゴシック" w:eastAsia="ＭＳ ゴシック" w:hAnsi="ＭＳ ゴシック"/>
                <w:sz w:val="20"/>
              </w:rPr>
              <w:t xml:space="preserve"> ６０ｍｇ１錠</w:t>
            </w:r>
          </w:p>
          <w:p w:rsidR="00B93159" w:rsidRDefault="00B93159">
            <w:pPr>
              <w:rPr>
                <w:rFonts w:ascii="ＭＳ ゴシック" w:eastAsia="ＭＳ ゴシック" w:hAnsi="ＭＳ ゴシック"/>
                <w:sz w:val="20"/>
              </w:rPr>
            </w:pPr>
            <w:r>
              <w:rPr>
                <w:rFonts w:ascii="ＭＳ ゴシック" w:eastAsia="ＭＳ ゴシック" w:hAnsi="ＭＳ ゴシック"/>
                <w:sz w:val="20"/>
              </w:rPr>
              <w:t>(般)ロキソプロフェンナトリウム水和物錠</w:t>
            </w:r>
          </w:p>
          <w:p w:rsidR="00B93159" w:rsidRPr="00B93159" w:rsidRDefault="00B93159">
            <w:pPr>
              <w:rPr>
                <w:rFonts w:ascii="ＭＳ ゴシック" w:eastAsia="ＭＳ ゴシック" w:hAnsi="ＭＳ ゴシック"/>
                <w:sz w:val="20"/>
              </w:rPr>
            </w:pPr>
            <w:r>
              <w:rPr>
                <w:rFonts w:ascii="ＭＳ ゴシック" w:eastAsia="ＭＳ ゴシック" w:hAnsi="ＭＳ ゴシック"/>
                <w:sz w:val="20"/>
              </w:rPr>
              <w:t>(先)ロキソニン錠６０ｍｇ</w:t>
            </w:r>
          </w:p>
        </w:tc>
        <w:tc>
          <w:tcPr>
            <w:tcW w:w="6800" w:type="dxa"/>
            <w:shd w:val="clear" w:color="auto" w:fill="auto"/>
          </w:tcPr>
          <w:p w:rsidR="00B93159" w:rsidRPr="00B93159" w:rsidRDefault="00B93159">
            <w:pPr>
              <w:rPr>
                <w:rFonts w:ascii="ＭＳ ゴシック" w:eastAsia="ＭＳ ゴシック" w:hAnsi="ＭＳ ゴシック"/>
                <w:sz w:val="20"/>
              </w:rPr>
            </w:pPr>
            <w:r>
              <w:rPr>
                <w:rFonts w:ascii="ＭＳ ゴシック" w:eastAsia="ＭＳ ゴシック" w:hAnsi="ＭＳ ゴシック" w:hint="eastAsia"/>
                <w:sz w:val="20"/>
              </w:rPr>
              <w:t>高齢者では、副作用があらわれやすいので、少量から開始するなど患者の状態を観察しながら慎重に投与すること。〔「重要な基本的注意」の項参照〕</w:t>
            </w:r>
          </w:p>
        </w:tc>
      </w:tr>
    </w:tbl>
    <w:p w:rsidR="005A13EB" w:rsidRDefault="005A13EB"/>
    <w:sectPr w:rsidR="005A13EB" w:rsidSect="00B93159">
      <w:headerReference w:type="even" r:id="rId6"/>
      <w:headerReference w:type="default" r:id="rId7"/>
      <w:footerReference w:type="even" r:id="rId8"/>
      <w:footerReference w:type="default" r:id="rId9"/>
      <w:headerReference w:type="first" r:id="rId10"/>
      <w:footerReference w:type="first" r:id="rId11"/>
      <w:pgSz w:w="11906" w:h="16838"/>
      <w:pgMar w:top="1480" w:right="1020" w:bottom="1480" w:left="1020" w:header="851" w:footer="992" w:gutter="0"/>
      <w:cols w:space="425"/>
      <w:docGrid w:type="linesAndChars" w:linePitch="289" w:charSpace="-25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159" w:rsidRDefault="00B93159" w:rsidP="00B93159">
      <w:r>
        <w:separator/>
      </w:r>
    </w:p>
  </w:endnote>
  <w:endnote w:type="continuationSeparator" w:id="0">
    <w:p w:rsidR="00B93159" w:rsidRDefault="00B93159" w:rsidP="00B93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159" w:rsidRDefault="00B9315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159" w:rsidRPr="00B93159" w:rsidRDefault="00B93159" w:rsidP="00B93159">
    <w:pPr>
      <w:pStyle w:val="a5"/>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159" w:rsidRDefault="00B931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159" w:rsidRDefault="00B93159" w:rsidP="00B93159">
      <w:r>
        <w:separator/>
      </w:r>
    </w:p>
  </w:footnote>
  <w:footnote w:type="continuationSeparator" w:id="0">
    <w:p w:rsidR="00B93159" w:rsidRDefault="00B93159" w:rsidP="00B93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159" w:rsidRDefault="00B9315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159" w:rsidRPr="00B93159" w:rsidRDefault="00B93159">
    <w:pPr>
      <w:pStyle w:val="a3"/>
      <w:rPr>
        <w:rFonts w:ascii="ＭＳ ゴシック" w:eastAsia="ＭＳ ゴシック" w:hAnsi="ＭＳ ゴシック"/>
        <w:sz w:val="20"/>
      </w:rPr>
    </w:pPr>
    <w:r>
      <w:rPr>
        <w:rFonts w:ascii="ＭＳ ゴシック" w:eastAsia="ＭＳ ゴシック" w:hAnsi="ＭＳ ゴシック"/>
        <w:sz w:val="20"/>
      </w:rPr>
      <w:t>（別紙）高齢者投与時に注意が必要な採用薬一覧　【五十音順】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159" w:rsidRDefault="00B931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bordersDoNotSurroundHeader/>
  <w:bordersDoNotSurroundFooter/>
  <w:hideSpellingErrors/>
  <w:hideGrammaticalErrors/>
  <w:defaultTabStop w:val="840"/>
  <w:drawingGridHorizontalSpacing w:val="197"/>
  <w:drawingGridVerticalSpacing w:val="28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159"/>
    <w:rsid w:val="005A13EB"/>
    <w:rsid w:val="00B931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7848BBE-DC5A-41D9-B630-6321EE135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3159"/>
    <w:pPr>
      <w:tabs>
        <w:tab w:val="center" w:pos="4252"/>
        <w:tab w:val="right" w:pos="8504"/>
      </w:tabs>
      <w:snapToGrid w:val="0"/>
    </w:pPr>
  </w:style>
  <w:style w:type="character" w:customStyle="1" w:styleId="a4">
    <w:name w:val="ヘッダー (文字)"/>
    <w:basedOn w:val="a0"/>
    <w:link w:val="a3"/>
    <w:uiPriority w:val="99"/>
    <w:rsid w:val="00B93159"/>
  </w:style>
  <w:style w:type="paragraph" w:styleId="a5">
    <w:name w:val="footer"/>
    <w:basedOn w:val="a"/>
    <w:link w:val="a6"/>
    <w:uiPriority w:val="99"/>
    <w:unhideWhenUsed/>
    <w:rsid w:val="00B93159"/>
    <w:pPr>
      <w:tabs>
        <w:tab w:val="center" w:pos="4252"/>
        <w:tab w:val="right" w:pos="8504"/>
      </w:tabs>
      <w:snapToGrid w:val="0"/>
    </w:pPr>
  </w:style>
  <w:style w:type="character" w:customStyle="1" w:styleId="a6">
    <w:name w:val="フッター (文字)"/>
    <w:basedOn w:val="a0"/>
    <w:link w:val="a5"/>
    <w:uiPriority w:val="99"/>
    <w:rsid w:val="00B93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Words>
  <Characters>4676</Characters>
  <Application>Microsoft Office Word</Application>
  <DocSecurity>0</DocSecurity>
  <Lines>38</Lines>
  <Paragraphs>10</Paragraphs>
  <ScaleCrop>false</ScaleCrop>
  <Company/>
  <LinksUpToDate>false</LinksUpToDate>
  <CharactersWithSpaces>5486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奥村綱雄</dc:creator>
  <cp:keywords/>
  <dc:description/>
  <cp:lastModifiedBy>奥村綱雄</cp:lastModifiedBy>
  <cp:revision>1</cp:revision>
  <dcterms:created xsi:type="dcterms:W3CDTF">2014-12-08T04:06:00Z</dcterms:created>
  <dcterms:modified xsi:type="dcterms:W3CDTF">2014-12-08T04:06:00Z</dcterms:modified>
</cp:coreProperties>
</file>